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D97" w:rsidRPr="00B043D2" w:rsidRDefault="006C03A7" w:rsidP="008C5D97">
      <w:pPr>
        <w:jc w:val="both"/>
        <w:rPr>
          <w:b/>
          <w:color w:val="FF0000"/>
        </w:rPr>
      </w:pPr>
      <w:r w:rsidRPr="00B043D2">
        <w:rPr>
          <w:b/>
          <w:color w:val="FF0000"/>
        </w:rPr>
        <w:t xml:space="preserve">Groupe 4 : Tissus Cheveux 2012 2013 </w:t>
      </w:r>
      <w:r w:rsidR="008C5D97" w:rsidRPr="00B043D2">
        <w:rPr>
          <w:b/>
          <w:color w:val="FF0000"/>
        </w:rPr>
        <w:t xml:space="preserve">/ Electrophorèse sur gel, technique RFLP : </w:t>
      </w:r>
    </w:p>
    <w:p w:rsidR="008C5D97" w:rsidRDefault="008C5D97" w:rsidP="006C03A7">
      <w:pPr>
        <w:jc w:val="both"/>
        <w:rPr>
          <w:b/>
        </w:rPr>
      </w:pPr>
    </w:p>
    <w:p w:rsidR="00605089" w:rsidRDefault="00605089" w:rsidP="00605089">
      <w:pPr>
        <w:jc w:val="both"/>
      </w:pPr>
      <w:r>
        <w:t xml:space="preserve">Le patrimoine génétique d’un individu est défini par  l’ensemble de ses molécules d’ADN qui sont stockés dans toutes ses cellules à l’intérieur des </w:t>
      </w:r>
      <w:r w:rsidRPr="00686AB7">
        <w:rPr>
          <w:b/>
        </w:rPr>
        <w:t>noyaux cellulaires</w:t>
      </w:r>
      <w:r>
        <w:t xml:space="preserve">. </w:t>
      </w:r>
    </w:p>
    <w:p w:rsidR="00C573E7" w:rsidRDefault="00C573E7" w:rsidP="00605089">
      <w:pPr>
        <w:jc w:val="both"/>
      </w:pPr>
    </w:p>
    <w:p w:rsidR="00C573E7" w:rsidRDefault="00C573E7" w:rsidP="00605089">
      <w:pPr>
        <w:jc w:val="both"/>
      </w:pPr>
      <w:r>
        <w:t xml:space="preserve">La molécule d’ADN a la forme d’une double hélice, c'est-à-dire deux brins enroulés l’un autour de l’autre. </w:t>
      </w:r>
    </w:p>
    <w:p w:rsidR="00605089" w:rsidRDefault="00605089" w:rsidP="00605089">
      <w:pPr>
        <w:jc w:val="both"/>
      </w:pPr>
    </w:p>
    <w:p w:rsidR="00A31748" w:rsidRDefault="006609E7" w:rsidP="00DF7E63">
      <w:pPr>
        <w:jc w:val="both"/>
      </w:pPr>
      <w:r>
        <w:t>Chaque brin d’ADN est</w:t>
      </w:r>
      <w:r w:rsidR="00F93312">
        <w:t xml:space="preserve"> </w:t>
      </w:r>
      <w:r w:rsidR="00252E5A" w:rsidRPr="00ED04CF">
        <w:t>constitué</w:t>
      </w:r>
      <w:r w:rsidR="00A31748">
        <w:t xml:space="preserve"> d’une suite de</w:t>
      </w:r>
      <w:r w:rsidR="00E00651" w:rsidRPr="00ED04CF">
        <w:t xml:space="preserve"> </w:t>
      </w:r>
      <w:r w:rsidR="00E00651" w:rsidRPr="00A31748">
        <w:rPr>
          <w:b/>
        </w:rPr>
        <w:t>nucléotides</w:t>
      </w:r>
      <w:r w:rsidR="00E00651" w:rsidRPr="00ED04CF">
        <w:t xml:space="preserve"> </w:t>
      </w:r>
      <w:r w:rsidR="00A31748">
        <w:t xml:space="preserve">(des petites molécules) </w:t>
      </w:r>
      <w:r w:rsidR="00E00651" w:rsidRPr="00ED04CF">
        <w:t xml:space="preserve">parmi les quatre suivants : </w:t>
      </w:r>
      <w:r w:rsidR="00E00651" w:rsidRPr="00A31748">
        <w:rPr>
          <w:b/>
        </w:rPr>
        <w:t>A (</w:t>
      </w:r>
      <w:r w:rsidR="002F25DB">
        <w:rPr>
          <w:b/>
        </w:rPr>
        <w:t>A</w:t>
      </w:r>
      <w:r w:rsidR="00E00651" w:rsidRPr="00A31748">
        <w:rPr>
          <w:b/>
        </w:rPr>
        <w:t>dénine), C (</w:t>
      </w:r>
      <w:r w:rsidR="002F25DB">
        <w:rPr>
          <w:b/>
        </w:rPr>
        <w:t>C</w:t>
      </w:r>
      <w:r w:rsidR="00E00651" w:rsidRPr="00A31748">
        <w:rPr>
          <w:b/>
        </w:rPr>
        <w:t>ytosine), T (</w:t>
      </w:r>
      <w:r w:rsidR="002F25DB">
        <w:rPr>
          <w:b/>
        </w:rPr>
        <w:t>T</w:t>
      </w:r>
      <w:r w:rsidR="00E00651" w:rsidRPr="00A31748">
        <w:rPr>
          <w:b/>
        </w:rPr>
        <w:t>hymine), G (</w:t>
      </w:r>
      <w:r w:rsidR="002F25DB">
        <w:rPr>
          <w:b/>
        </w:rPr>
        <w:t>G</w:t>
      </w:r>
      <w:r w:rsidR="00E00651" w:rsidRPr="00A31748">
        <w:rPr>
          <w:b/>
        </w:rPr>
        <w:t>uanine).</w:t>
      </w:r>
    </w:p>
    <w:p w:rsidR="00816F78" w:rsidRDefault="00816F78" w:rsidP="00A31748">
      <w:pPr>
        <w:jc w:val="both"/>
      </w:pPr>
    </w:p>
    <w:p w:rsidR="00C32748" w:rsidRPr="00936143" w:rsidRDefault="00454017" w:rsidP="00A31748">
      <w:pPr>
        <w:jc w:val="both"/>
        <w:rPr>
          <w:b/>
        </w:rPr>
      </w:pPr>
      <w:r>
        <w:t>Deux individus pour une séquence d’ADN donnée, peuvent avoir des séquences légèrement</w:t>
      </w:r>
      <w:r w:rsidR="00605089">
        <w:t xml:space="preserve"> différentes qu’on appelle des </w:t>
      </w:r>
      <w:r w:rsidR="00605089" w:rsidRPr="00936143">
        <w:rPr>
          <w:b/>
        </w:rPr>
        <w:t>allèles différents.</w:t>
      </w:r>
    </w:p>
    <w:p w:rsidR="00975AFB" w:rsidRDefault="00975AFB" w:rsidP="00A31748">
      <w:pPr>
        <w:jc w:val="both"/>
        <w:rPr>
          <w:i/>
        </w:rPr>
      </w:pPr>
    </w:p>
    <w:p w:rsidR="00E00651" w:rsidRDefault="00611263" w:rsidP="00A31748">
      <w:pPr>
        <w:ind w:firstLine="708"/>
        <w:jc w:val="both"/>
      </w:pPr>
      <w:r>
        <w:t>Dans l’ADN d’un individu, c</w:t>
      </w:r>
      <w:r w:rsidR="00A31748">
        <w:t>ertaines suites de nucléotide</w:t>
      </w:r>
      <w:r w:rsidR="006C4BB0">
        <w:t>s</w:t>
      </w:r>
      <w:r w:rsidR="00A31748">
        <w:t xml:space="preserve"> n’ont pas de rôle particulier dans le patrimoine génétique</w:t>
      </w:r>
      <w:r w:rsidR="00E00651" w:rsidRPr="00ED04CF">
        <w:t>,</w:t>
      </w:r>
      <w:r w:rsidR="00A31748">
        <w:t xml:space="preserve"> ces séquences sont</w:t>
      </w:r>
      <w:r w:rsidR="00E00651" w:rsidRPr="00ED04CF">
        <w:t xml:space="preserve"> appelées </w:t>
      </w:r>
      <w:r w:rsidR="00E00651" w:rsidRPr="00A31748">
        <w:rPr>
          <w:b/>
        </w:rPr>
        <w:t>microsatellites</w:t>
      </w:r>
      <w:r w:rsidR="00E00651" w:rsidRPr="00ED04CF">
        <w:t> et </w:t>
      </w:r>
      <w:proofErr w:type="spellStart"/>
      <w:r w:rsidR="00E00651" w:rsidRPr="00A31748">
        <w:rPr>
          <w:b/>
        </w:rPr>
        <w:t>minisatellites</w:t>
      </w:r>
      <w:proofErr w:type="spellEnd"/>
      <w:r w:rsidR="00E00651" w:rsidRPr="00ED04CF">
        <w:t>, qui sont spécifiques à chaque individu et constituent sa signature génétique.</w:t>
      </w:r>
    </w:p>
    <w:p w:rsidR="006C03A7" w:rsidRDefault="006C03A7" w:rsidP="00686AB7">
      <w:pPr>
        <w:jc w:val="both"/>
        <w:rPr>
          <w:b/>
        </w:rPr>
      </w:pPr>
    </w:p>
    <w:p w:rsidR="00153A5B" w:rsidRPr="00153A5B" w:rsidRDefault="00153A5B" w:rsidP="00C95123">
      <w:pPr>
        <w:jc w:val="both"/>
      </w:pPr>
      <w:r w:rsidRPr="00153A5B">
        <w:t xml:space="preserve">L’électrophorèse sur gel permet de différencier l’ADN de différents individus. </w:t>
      </w:r>
    </w:p>
    <w:p w:rsidR="00153A5B" w:rsidRPr="00153A5B" w:rsidRDefault="00153A5B" w:rsidP="00686AB7">
      <w:pPr>
        <w:jc w:val="both"/>
      </w:pPr>
      <w:r w:rsidRPr="00153A5B">
        <w:t xml:space="preserve">En effet, dans cette technique, on utilise des </w:t>
      </w:r>
      <w:r w:rsidRPr="000A5E59">
        <w:rPr>
          <w:b/>
        </w:rPr>
        <w:t>enzymes</w:t>
      </w:r>
      <w:r w:rsidR="000A5E59">
        <w:rPr>
          <w:b/>
        </w:rPr>
        <w:t xml:space="preserve"> de restriction</w:t>
      </w:r>
      <w:r w:rsidRPr="00153A5B">
        <w:t xml:space="preserve">, c'est-à-dire des </w:t>
      </w:r>
      <w:r w:rsidRPr="00065915">
        <w:rPr>
          <w:b/>
        </w:rPr>
        <w:t>ciseaux moléculaires</w:t>
      </w:r>
      <w:r w:rsidRPr="00153A5B">
        <w:t xml:space="preserve"> qui coupe</w:t>
      </w:r>
      <w:r w:rsidR="0003298C">
        <w:t>nt</w:t>
      </w:r>
      <w:r w:rsidRPr="00153A5B">
        <w:t xml:space="preserve"> l’ADN à des </w:t>
      </w:r>
      <w:r w:rsidRPr="000A5E59">
        <w:rPr>
          <w:b/>
        </w:rPr>
        <w:t>sites nucléotidiques très particulier</w:t>
      </w:r>
      <w:r w:rsidRPr="00153A5B">
        <w:t xml:space="preserve">. </w:t>
      </w:r>
    </w:p>
    <w:p w:rsidR="00153A5B" w:rsidRPr="00153A5B" w:rsidRDefault="00153A5B" w:rsidP="00686AB7">
      <w:pPr>
        <w:jc w:val="both"/>
        <w:rPr>
          <w:i/>
        </w:rPr>
      </w:pPr>
    </w:p>
    <w:p w:rsidR="00153A5B" w:rsidRPr="00153A5B" w:rsidRDefault="00153A5B" w:rsidP="00686AB7">
      <w:pPr>
        <w:jc w:val="both"/>
        <w:rPr>
          <w:i/>
        </w:rPr>
      </w:pPr>
      <w:r w:rsidRPr="00153A5B">
        <w:rPr>
          <w:i/>
        </w:rPr>
        <w:t>Par exemple :</w:t>
      </w:r>
    </w:p>
    <w:p w:rsidR="00153A5B" w:rsidRDefault="00153A5B" w:rsidP="00686AB7">
      <w:pPr>
        <w:jc w:val="both"/>
        <w:rPr>
          <w:i/>
        </w:rPr>
      </w:pPr>
      <w:r>
        <w:rPr>
          <w:i/>
          <w:noProof/>
        </w:rPr>
        <w:drawing>
          <wp:inline distT="0" distB="0" distL="0" distR="0">
            <wp:extent cx="6637020" cy="1082040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020" cy="1082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2E5A" w:rsidRDefault="00034C07" w:rsidP="00686AB7">
      <w:pPr>
        <w:jc w:val="both"/>
        <w:rPr>
          <w:i/>
        </w:rPr>
      </w:pPr>
      <w:r>
        <w:rPr>
          <w:i/>
        </w:rPr>
        <w:t xml:space="preserve">Ainsi l’enzyme </w:t>
      </w:r>
      <w:proofErr w:type="spellStart"/>
      <w:r>
        <w:rPr>
          <w:i/>
        </w:rPr>
        <w:t>EcoRI</w:t>
      </w:r>
      <w:proofErr w:type="spellEnd"/>
      <w:r>
        <w:rPr>
          <w:i/>
        </w:rPr>
        <w:t xml:space="preserve"> est capable de reconnaitre et de découper la séquence GAATTC,</w:t>
      </w:r>
    </w:p>
    <w:p w:rsidR="00361319" w:rsidRPr="00361319" w:rsidRDefault="00361319" w:rsidP="00361319">
      <w:pPr>
        <w:jc w:val="right"/>
        <w:rPr>
          <w:sz w:val="16"/>
          <w:szCs w:val="16"/>
        </w:rPr>
      </w:pPr>
      <w:r w:rsidRPr="00361319">
        <w:rPr>
          <w:sz w:val="16"/>
          <w:szCs w:val="16"/>
        </w:rPr>
        <w:t xml:space="preserve">D’après Alain Gallien, site Internet Banque de Schéma Dijon, le 8 août 2012 </w:t>
      </w:r>
    </w:p>
    <w:p w:rsidR="00034C07" w:rsidRPr="00361319" w:rsidRDefault="00B443CF" w:rsidP="00361319">
      <w:pPr>
        <w:jc w:val="right"/>
        <w:rPr>
          <w:i/>
          <w:sz w:val="16"/>
          <w:szCs w:val="16"/>
        </w:rPr>
      </w:pPr>
      <w:hyperlink r:id="rId6" w:history="1">
        <w:r w:rsidR="00361319" w:rsidRPr="00361319">
          <w:rPr>
            <w:rStyle w:val="Lienhypertexte"/>
            <w:sz w:val="16"/>
            <w:szCs w:val="16"/>
          </w:rPr>
          <w:t>http://svt.ac-dijon.fr/schemassvt/chercher.php3</w:t>
        </w:r>
      </w:hyperlink>
    </w:p>
    <w:p w:rsidR="00E14944" w:rsidRDefault="00E14944" w:rsidP="00034C07"/>
    <w:p w:rsidR="00E14944" w:rsidRDefault="00E14944" w:rsidP="00494AF7">
      <w:pPr>
        <w:jc w:val="both"/>
      </w:pPr>
    </w:p>
    <w:p w:rsidR="00CE01AE" w:rsidRDefault="00E14944" w:rsidP="00494AF7">
      <w:pPr>
        <w:jc w:val="both"/>
      </w:pPr>
      <w:r>
        <w:t xml:space="preserve">Au niveau des </w:t>
      </w:r>
      <w:r w:rsidRPr="00E14944">
        <w:rPr>
          <w:b/>
        </w:rPr>
        <w:t>séquences microsatellites</w:t>
      </w:r>
      <w:r>
        <w:t xml:space="preserve"> dont nous avons parlé plus tôt, il y a de nombreuses variations dans les </w:t>
      </w:r>
      <w:r w:rsidR="00CE01AE">
        <w:t xml:space="preserve">séquences  d’ADN deux individus n’auront donc pas le même nombre de site de coupure. </w:t>
      </w:r>
    </w:p>
    <w:p w:rsidR="00CE01AE" w:rsidRDefault="00CE01AE" w:rsidP="00494AF7">
      <w:pPr>
        <w:jc w:val="both"/>
      </w:pPr>
    </w:p>
    <w:p w:rsidR="00CE01AE" w:rsidRDefault="00CE01AE" w:rsidP="00494AF7">
      <w:pPr>
        <w:jc w:val="both"/>
      </w:pPr>
      <w:r>
        <w:t xml:space="preserve">Exemple : </w:t>
      </w:r>
      <w:r w:rsidR="00A52AE7">
        <w:t xml:space="preserve">Individu 1 : 1 seul site de coupure donc 2 morceaux d’ADN obtenu après coupure. </w:t>
      </w:r>
    </w:p>
    <w:p w:rsidR="00CE01AE" w:rsidRDefault="00A52AE7" w:rsidP="00AA5B14">
      <w:pPr>
        <w:jc w:val="center"/>
      </w:pPr>
      <w:r>
        <w:rPr>
          <w:noProof/>
        </w:rPr>
        <w:drawing>
          <wp:inline distT="0" distB="0" distL="0" distR="0">
            <wp:extent cx="4122420" cy="845820"/>
            <wp:effectExtent l="19050" t="0" r="0" b="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2420" cy="845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1AE" w:rsidRDefault="00CE01AE" w:rsidP="00CE01AE">
      <w:pPr>
        <w:jc w:val="both"/>
      </w:pPr>
      <w:r>
        <w:t xml:space="preserve">Individu 2 : </w:t>
      </w:r>
      <w:r w:rsidR="00A52AE7">
        <w:t>2 sites de coupure donc 3 morceaux d’ADN obtenu après coupure.</w:t>
      </w:r>
    </w:p>
    <w:p w:rsidR="00A52AE7" w:rsidRDefault="00A52AE7" w:rsidP="00AA5B14">
      <w:pPr>
        <w:jc w:val="center"/>
      </w:pPr>
      <w:r>
        <w:rPr>
          <w:noProof/>
        </w:rPr>
        <w:drawing>
          <wp:inline distT="0" distB="0" distL="0" distR="0">
            <wp:extent cx="4008120" cy="822960"/>
            <wp:effectExtent l="19050" t="0" r="0" b="0"/>
            <wp:docPr id="4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812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7180" w:rsidRDefault="002B7180" w:rsidP="007E25A5">
      <w:pPr>
        <w:jc w:val="center"/>
        <w:rPr>
          <w:sz w:val="22"/>
          <w:szCs w:val="22"/>
        </w:rPr>
      </w:pPr>
    </w:p>
    <w:p w:rsidR="00034C07" w:rsidRPr="002B7180" w:rsidRDefault="00034C07" w:rsidP="007E25A5">
      <w:pPr>
        <w:jc w:val="center"/>
        <w:rPr>
          <w:sz w:val="22"/>
          <w:szCs w:val="22"/>
        </w:rPr>
      </w:pPr>
      <w:r w:rsidRPr="002B7180">
        <w:rPr>
          <w:sz w:val="22"/>
          <w:szCs w:val="22"/>
        </w:rPr>
        <w:t xml:space="preserve">Vidéo à regarder pour bien comprendre : </w:t>
      </w:r>
      <w:hyperlink r:id="rId9" w:anchor="!" w:history="1">
        <w:r w:rsidRPr="002B7180">
          <w:rPr>
            <w:rStyle w:val="Lienhypertexte"/>
            <w:sz w:val="22"/>
            <w:szCs w:val="22"/>
          </w:rPr>
          <w:t>http://www.youtube.com/watch?v=d2jEyO3hqR0&amp;feature=player_embedded#!</w:t>
        </w:r>
      </w:hyperlink>
    </w:p>
    <w:p w:rsidR="00CE1B22" w:rsidRDefault="00CE1B22" w:rsidP="00494AF7">
      <w:pPr>
        <w:jc w:val="both"/>
        <w:rPr>
          <w:sz w:val="20"/>
          <w:szCs w:val="20"/>
        </w:rPr>
      </w:pPr>
    </w:p>
    <w:p w:rsidR="00CE1B22" w:rsidRDefault="00CE1B22" w:rsidP="00494AF7">
      <w:pPr>
        <w:jc w:val="both"/>
      </w:pPr>
      <w:r w:rsidRPr="00CE1B22">
        <w:t xml:space="preserve">Une fois l’ADN découpé par les enzymes de restriction, </w:t>
      </w:r>
      <w:r>
        <w:t xml:space="preserve">on dépose </w:t>
      </w:r>
      <w:r w:rsidR="00B043D2">
        <w:t xml:space="preserve">le mélange obtenu </w:t>
      </w:r>
      <w:r>
        <w:t xml:space="preserve">dans des puits de migration dans un gel d’électrophorèse, l’ADN étant chargé négativement, il migrera lentement vers le pôle positif. </w:t>
      </w:r>
    </w:p>
    <w:p w:rsidR="00470E7F" w:rsidRDefault="002B7180" w:rsidP="00470E7F">
      <w:pPr>
        <w:jc w:val="right"/>
        <w:rPr>
          <w:sz w:val="16"/>
          <w:szCs w:val="16"/>
        </w:rPr>
      </w:pPr>
      <w:r>
        <w:rPr>
          <w:noProof/>
          <w:sz w:val="16"/>
          <w:szCs w:val="16"/>
        </w:rPr>
        <w:lastRenderedPageBreak/>
        <w:drawing>
          <wp:inline distT="0" distB="0" distL="0" distR="0">
            <wp:extent cx="5989320" cy="5410200"/>
            <wp:effectExtent l="19050" t="0" r="0" b="0"/>
            <wp:docPr id="6" name="Image 4" descr="C:\Users\Cbolavy\Desktop\Electrophorese AD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bolavy\Desktop\Electrophorese AD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9320" cy="541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0E7F" w:rsidRPr="00470E7F" w:rsidRDefault="00470E7F" w:rsidP="00470E7F">
      <w:pPr>
        <w:jc w:val="right"/>
        <w:rPr>
          <w:sz w:val="16"/>
          <w:szCs w:val="16"/>
        </w:rPr>
      </w:pPr>
    </w:p>
    <w:p w:rsidR="00470E7F" w:rsidRPr="00470E7F" w:rsidRDefault="00470E7F" w:rsidP="00470E7F">
      <w:pPr>
        <w:jc w:val="right"/>
        <w:rPr>
          <w:sz w:val="16"/>
          <w:szCs w:val="16"/>
        </w:rPr>
      </w:pPr>
      <w:r w:rsidRPr="00470E7F">
        <w:rPr>
          <w:sz w:val="16"/>
          <w:szCs w:val="16"/>
        </w:rPr>
        <w:t xml:space="preserve">Modifié d’après site Internet </w:t>
      </w:r>
      <w:proofErr w:type="spellStart"/>
      <w:r w:rsidRPr="00470E7F">
        <w:rPr>
          <w:sz w:val="16"/>
          <w:szCs w:val="16"/>
        </w:rPr>
        <w:t>Wikipedia</w:t>
      </w:r>
      <w:proofErr w:type="spellEnd"/>
      <w:r w:rsidRPr="00470E7F">
        <w:rPr>
          <w:sz w:val="16"/>
          <w:szCs w:val="16"/>
        </w:rPr>
        <w:t xml:space="preserve">, article </w:t>
      </w:r>
      <w:proofErr w:type="spellStart"/>
      <w:r w:rsidRPr="00470E7F">
        <w:rPr>
          <w:sz w:val="16"/>
          <w:szCs w:val="16"/>
        </w:rPr>
        <w:t>elec</w:t>
      </w:r>
      <w:proofErr w:type="spellEnd"/>
      <w:r w:rsidRPr="00470E7F">
        <w:rPr>
          <w:sz w:val="16"/>
          <w:szCs w:val="16"/>
        </w:rPr>
        <w:t xml:space="preserve"> Électrophorèse des protéines</w:t>
      </w:r>
    </w:p>
    <w:p w:rsidR="00470E7F" w:rsidRPr="00470E7F" w:rsidRDefault="00470E7F" w:rsidP="00470E7F">
      <w:pPr>
        <w:jc w:val="right"/>
        <w:rPr>
          <w:sz w:val="16"/>
          <w:szCs w:val="16"/>
        </w:rPr>
      </w:pPr>
      <w:r w:rsidRPr="00470E7F">
        <w:rPr>
          <w:sz w:val="16"/>
          <w:szCs w:val="16"/>
        </w:rPr>
        <w:t xml:space="preserve"> </w:t>
      </w:r>
      <w:hyperlink r:id="rId11" w:history="1">
        <w:r w:rsidRPr="00470E7F">
          <w:rPr>
            <w:rStyle w:val="Lienhypertexte"/>
            <w:sz w:val="16"/>
            <w:szCs w:val="16"/>
          </w:rPr>
          <w:t>http://fr.wikipedia.org/wiki/%C3%89lectrophor%C3%A8se_des_prot%C3%A9ines</w:t>
        </w:r>
      </w:hyperlink>
    </w:p>
    <w:p w:rsidR="00580F9E" w:rsidRDefault="00580F9E" w:rsidP="00CE1B22"/>
    <w:p w:rsidR="00470E7F" w:rsidRDefault="00636A1A" w:rsidP="00494AF7">
      <w:pPr>
        <w:jc w:val="both"/>
      </w:pPr>
      <w:r>
        <w:t>Le gel, à travers lequel l’ADN migre, ralentit plus les grosses molécules d’ADN que les molécules d’ADN plus petite</w:t>
      </w:r>
      <w:r w:rsidR="00A0712B">
        <w:t>s</w:t>
      </w:r>
      <w:r>
        <w:t xml:space="preserve">. Après migration et révélation, </w:t>
      </w:r>
      <w:r w:rsidRPr="00470E7F">
        <w:rPr>
          <w:b/>
        </w:rPr>
        <w:t>on obtient donc un gel avec des bandes de migration, chaque bande correspondant à une séquence d’ADN</w:t>
      </w:r>
      <w:r>
        <w:t xml:space="preserve">. </w:t>
      </w:r>
    </w:p>
    <w:p w:rsidR="008C5D97" w:rsidRDefault="008C5D97" w:rsidP="00494AF7">
      <w:pPr>
        <w:jc w:val="both"/>
      </w:pPr>
    </w:p>
    <w:p w:rsidR="00636A1A" w:rsidRDefault="007D74D4" w:rsidP="00494AF7">
      <w:pPr>
        <w:jc w:val="both"/>
        <w:rPr>
          <w:b/>
        </w:rPr>
      </w:pPr>
      <w:r w:rsidRPr="007D74D4">
        <w:rPr>
          <w:b/>
        </w:rPr>
        <w:t>Le nombre de bandes dépend du nombre de site de restriction présent dans l’ADN de l’individu.</w:t>
      </w:r>
    </w:p>
    <w:p w:rsidR="008E7D31" w:rsidRPr="007D74D4" w:rsidRDefault="008E7D31" w:rsidP="00494AF7">
      <w:pPr>
        <w:jc w:val="both"/>
        <w:rPr>
          <w:b/>
        </w:rPr>
      </w:pPr>
      <w:r>
        <w:rPr>
          <w:b/>
        </w:rPr>
        <w:t xml:space="preserve">Dans l’exemple ci-dessus, l’ADN inconnu appartient à l’individu 1. </w:t>
      </w:r>
    </w:p>
    <w:sectPr w:rsidR="008E7D31" w:rsidRPr="007D74D4" w:rsidSect="00686AB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A6CEA"/>
    <w:multiLevelType w:val="hybridMultilevel"/>
    <w:tmpl w:val="B51EE69E"/>
    <w:lvl w:ilvl="0" w:tplc="040C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128" w:hanging="360"/>
      </w:pPr>
    </w:lvl>
    <w:lvl w:ilvl="2" w:tplc="040C001B" w:tentative="1">
      <w:start w:val="1"/>
      <w:numFmt w:val="lowerRoman"/>
      <w:lvlText w:val="%3."/>
      <w:lvlJc w:val="right"/>
      <w:pPr>
        <w:ind w:left="1848" w:hanging="180"/>
      </w:pPr>
    </w:lvl>
    <w:lvl w:ilvl="3" w:tplc="040C000F" w:tentative="1">
      <w:start w:val="1"/>
      <w:numFmt w:val="decimal"/>
      <w:lvlText w:val="%4."/>
      <w:lvlJc w:val="left"/>
      <w:pPr>
        <w:ind w:left="2568" w:hanging="360"/>
      </w:pPr>
    </w:lvl>
    <w:lvl w:ilvl="4" w:tplc="040C0019" w:tentative="1">
      <w:start w:val="1"/>
      <w:numFmt w:val="lowerLetter"/>
      <w:lvlText w:val="%5."/>
      <w:lvlJc w:val="left"/>
      <w:pPr>
        <w:ind w:left="3288" w:hanging="360"/>
      </w:pPr>
    </w:lvl>
    <w:lvl w:ilvl="5" w:tplc="040C001B" w:tentative="1">
      <w:start w:val="1"/>
      <w:numFmt w:val="lowerRoman"/>
      <w:lvlText w:val="%6."/>
      <w:lvlJc w:val="right"/>
      <w:pPr>
        <w:ind w:left="4008" w:hanging="180"/>
      </w:pPr>
    </w:lvl>
    <w:lvl w:ilvl="6" w:tplc="040C000F" w:tentative="1">
      <w:start w:val="1"/>
      <w:numFmt w:val="decimal"/>
      <w:lvlText w:val="%7."/>
      <w:lvlJc w:val="left"/>
      <w:pPr>
        <w:ind w:left="4728" w:hanging="360"/>
      </w:pPr>
    </w:lvl>
    <w:lvl w:ilvl="7" w:tplc="040C0019" w:tentative="1">
      <w:start w:val="1"/>
      <w:numFmt w:val="lowerLetter"/>
      <w:lvlText w:val="%8."/>
      <w:lvlJc w:val="left"/>
      <w:pPr>
        <w:ind w:left="5448" w:hanging="360"/>
      </w:pPr>
    </w:lvl>
    <w:lvl w:ilvl="8" w:tplc="040C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savePreviewPicture/>
  <w:compat/>
  <w:rsids>
    <w:rsidRoot w:val="00E00651"/>
    <w:rsid w:val="0003298C"/>
    <w:rsid w:val="00034C07"/>
    <w:rsid w:val="00065915"/>
    <w:rsid w:val="00082689"/>
    <w:rsid w:val="000A5E59"/>
    <w:rsid w:val="00124D06"/>
    <w:rsid w:val="00153A5B"/>
    <w:rsid w:val="001726ED"/>
    <w:rsid w:val="00174488"/>
    <w:rsid w:val="00197E69"/>
    <w:rsid w:val="00252E5A"/>
    <w:rsid w:val="00283BED"/>
    <w:rsid w:val="002B7180"/>
    <w:rsid w:val="002F25DB"/>
    <w:rsid w:val="00361319"/>
    <w:rsid w:val="003D727B"/>
    <w:rsid w:val="00454017"/>
    <w:rsid w:val="00470E7F"/>
    <w:rsid w:val="00471301"/>
    <w:rsid w:val="00494AF7"/>
    <w:rsid w:val="00497D75"/>
    <w:rsid w:val="004A7B7D"/>
    <w:rsid w:val="004D25E6"/>
    <w:rsid w:val="00580F9E"/>
    <w:rsid w:val="00586E9E"/>
    <w:rsid w:val="005B7000"/>
    <w:rsid w:val="00605089"/>
    <w:rsid w:val="00611263"/>
    <w:rsid w:val="00636A1A"/>
    <w:rsid w:val="006609E7"/>
    <w:rsid w:val="00686AB7"/>
    <w:rsid w:val="006C03A7"/>
    <w:rsid w:val="006C29AB"/>
    <w:rsid w:val="006C4BB0"/>
    <w:rsid w:val="00726BC8"/>
    <w:rsid w:val="007D74D4"/>
    <w:rsid w:val="007E25A5"/>
    <w:rsid w:val="00816F78"/>
    <w:rsid w:val="00824FB1"/>
    <w:rsid w:val="00861EC7"/>
    <w:rsid w:val="008C5D97"/>
    <w:rsid w:val="008E7D31"/>
    <w:rsid w:val="00936143"/>
    <w:rsid w:val="00955F2C"/>
    <w:rsid w:val="00975AFB"/>
    <w:rsid w:val="009B61D8"/>
    <w:rsid w:val="00A0712B"/>
    <w:rsid w:val="00A24A07"/>
    <w:rsid w:val="00A270AF"/>
    <w:rsid w:val="00A31748"/>
    <w:rsid w:val="00A52AE7"/>
    <w:rsid w:val="00A82AA7"/>
    <w:rsid w:val="00A9426D"/>
    <w:rsid w:val="00AA5B14"/>
    <w:rsid w:val="00AE7BE9"/>
    <w:rsid w:val="00AF0CFA"/>
    <w:rsid w:val="00AF59FA"/>
    <w:rsid w:val="00B043D2"/>
    <w:rsid w:val="00B443CF"/>
    <w:rsid w:val="00B61622"/>
    <w:rsid w:val="00BB0156"/>
    <w:rsid w:val="00BC601B"/>
    <w:rsid w:val="00C32748"/>
    <w:rsid w:val="00C3472F"/>
    <w:rsid w:val="00C428A6"/>
    <w:rsid w:val="00C573E7"/>
    <w:rsid w:val="00C95123"/>
    <w:rsid w:val="00CE01AE"/>
    <w:rsid w:val="00CE1B22"/>
    <w:rsid w:val="00CE1CDC"/>
    <w:rsid w:val="00D200FE"/>
    <w:rsid w:val="00D92E7A"/>
    <w:rsid w:val="00D9581E"/>
    <w:rsid w:val="00DA2966"/>
    <w:rsid w:val="00DF7E63"/>
    <w:rsid w:val="00E00651"/>
    <w:rsid w:val="00E14944"/>
    <w:rsid w:val="00EB1655"/>
    <w:rsid w:val="00EE6025"/>
    <w:rsid w:val="00F93312"/>
    <w:rsid w:val="00FA4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link w:val="Titre1Car"/>
    <w:uiPriority w:val="9"/>
    <w:qFormat/>
    <w:rsid w:val="00470E7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C60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601B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BC60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semiHidden/>
    <w:unhideWhenUsed/>
    <w:rsid w:val="00034C07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470E7F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02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vt.ac-dijon.fr/schemassvt/chercher.php3" TargetMode="External"/><Relationship Id="rId11" Type="http://schemas.openxmlformats.org/officeDocument/2006/relationships/hyperlink" Target="http://fr.wikipedia.org/wiki/%C3%89lectrophor%C3%A8se_des_prot%C3%A9ines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d2jEyO3hqR0&amp;feature=player_embedded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448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Cbolavy</dc:creator>
  <cp:lastModifiedBy>Cbolavy</cp:lastModifiedBy>
  <cp:revision>15</cp:revision>
  <dcterms:created xsi:type="dcterms:W3CDTF">2012-08-09T09:59:00Z</dcterms:created>
  <dcterms:modified xsi:type="dcterms:W3CDTF">2012-08-09T10:03:00Z</dcterms:modified>
</cp:coreProperties>
</file>